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F8A82">
      <w:pPr>
        <w:widowControl/>
        <w:jc w:val="center"/>
        <w:rPr>
          <w:rFonts w:ascii="Times New Roman" w:hAnsi="Times New Roman" w:eastAsia="黑体" w:cs="Times New Roman"/>
          <w:b/>
          <w:bCs/>
          <w:kern w:val="0"/>
          <w:sz w:val="36"/>
          <w:szCs w:val="36"/>
          <w:lang w:bidi="ar"/>
        </w:rPr>
      </w:pPr>
      <w:bookmarkStart w:id="0" w:name="_GoBack"/>
      <w:bookmarkEnd w:id="0"/>
      <w:r>
        <w:rPr>
          <w:rFonts w:ascii="Times New Roman" w:hAnsi="Times New Roman" w:eastAsia="黑体" w:cs="Times New Roman"/>
          <w:b/>
          <w:bCs/>
          <w:kern w:val="0"/>
          <w:sz w:val="36"/>
          <w:szCs w:val="36"/>
          <w:lang w:bidi="ar"/>
        </w:rPr>
        <w:t>研究生第二导师配备网上系统操作流程</w:t>
      </w:r>
    </w:p>
    <w:p w14:paraId="36418BF9">
      <w:pPr>
        <w:widowControl/>
        <w:jc w:val="center"/>
        <w:rPr>
          <w:rFonts w:ascii="Times New Roman" w:hAnsi="Times New Roman" w:eastAsia="宋体" w:cs="Times New Roman"/>
          <w:kern w:val="0"/>
          <w:sz w:val="28"/>
          <w:szCs w:val="28"/>
          <w:lang w:bidi="ar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lang w:bidi="ar"/>
        </w:rPr>
        <w:t>更新日期：2021年10月</w:t>
      </w:r>
    </w:p>
    <w:p w14:paraId="0BA394EB">
      <w:pPr>
        <w:widowControl/>
        <w:jc w:val="center"/>
        <w:rPr>
          <w:rFonts w:ascii="Times New Roman" w:hAnsi="Times New Roman" w:eastAsia="宋体" w:cs="Times New Roman"/>
          <w:kern w:val="0"/>
          <w:sz w:val="28"/>
          <w:szCs w:val="28"/>
          <w:lang w:bidi="ar"/>
        </w:rPr>
      </w:pPr>
    </w:p>
    <w:p w14:paraId="1D94BD76">
      <w:pPr>
        <w:spacing w:line="540" w:lineRule="exact"/>
        <w:ind w:firstLine="480" w:firstLineChars="2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根据《华南农业大学研究生导师管理办法》（华南农办〔2017〕26号）和学院制定的《研究生导师岗位聘任实施细则》（2021年修订）要求，2020级及之前年级研究生第二导师配备应在学位论文开题前完成，</w:t>
      </w:r>
      <w:r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  <w:t>2021级起研究生第二导师配备应在第二学期结束前完成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。专业学位研究生实行双导师负责制，非全日制专业学位研究生必须配备校外第二导师，全日制专业学位研究生原则上应配备校外第二导师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>（如确需配备校内二导，须向学院说明理由）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。第二导师聘任要求按本学院制定的《研究生导师岗位聘任实施细则》（2021年修订）执行，由学院统一聘任第二导师并报研究生院备案。</w:t>
      </w:r>
    </w:p>
    <w:p w14:paraId="6E351348">
      <w:pPr>
        <w:spacing w:line="540" w:lineRule="exact"/>
        <w:ind w:firstLine="480" w:firstLineChars="200"/>
        <w:jc w:val="left"/>
        <w:rPr>
          <w:rFonts w:ascii="Times New Roman" w:hAnsi="Times New Roman" w:eastAsia="黑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研究生第二导师配备需研究生本人在“研究生教育管理系统”申请，并由第一导师从学院第二导师库中选定导师名单，具体操作流程如下：</w:t>
      </w:r>
    </w:p>
    <w:p w14:paraId="0531B2F0">
      <w:pPr>
        <w:jc w:val="center"/>
        <w:rPr>
          <w:rFonts w:ascii="Times New Roman" w:hAnsi="Times New Roman" w:eastAsia="黑体" w:cs="Times New Roman"/>
          <w:kern w:val="0"/>
          <w:sz w:val="24"/>
        </w:rPr>
      </w:pPr>
    </w:p>
    <w:p w14:paraId="5EAA4560">
      <w:pPr>
        <w:jc w:val="center"/>
        <w:rPr>
          <w:rFonts w:ascii="Times New Roman" w:hAnsi="Times New Roman" w:eastAsia="黑体" w:cs="Times New Roman"/>
        </w:rPr>
      </w:pPr>
      <w:r>
        <w:rPr>
          <w:rFonts w:ascii="Times New Roman" w:hAnsi="Times New Roman" w:eastAsia="黑体" w:cs="Times New Roman"/>
          <w:kern w:val="0"/>
          <w:sz w:val="24"/>
        </w:rPr>
        <w:t>流程：研究生申请</w:t>
      </w:r>
      <w:r>
        <w:rPr>
          <w:rFonts w:ascii="Times New Roman" w:hAnsi="Times New Roman" w:eastAsia="黑体" w:cs="Times New Roman"/>
          <w:kern w:val="0"/>
          <w:sz w:val="24"/>
        </w:rPr>
        <w:sym w:font="Wingdings" w:char="F0E8"/>
      </w:r>
      <w:r>
        <w:rPr>
          <w:rFonts w:ascii="Times New Roman" w:hAnsi="Times New Roman" w:eastAsia="黑体" w:cs="Times New Roman"/>
          <w:kern w:val="0"/>
          <w:sz w:val="24"/>
        </w:rPr>
        <w:t>研究生第一导师选定第二导师</w:t>
      </w:r>
      <w:r>
        <w:rPr>
          <w:rFonts w:ascii="Times New Roman" w:hAnsi="Times New Roman" w:eastAsia="黑体" w:cs="Times New Roman"/>
          <w:kern w:val="0"/>
          <w:sz w:val="24"/>
        </w:rPr>
        <w:sym w:font="Wingdings" w:char="F0E8"/>
      </w:r>
      <w:r>
        <w:rPr>
          <w:rFonts w:ascii="Times New Roman" w:hAnsi="Times New Roman" w:eastAsia="黑体" w:cs="Times New Roman"/>
          <w:kern w:val="0"/>
          <w:sz w:val="24"/>
        </w:rPr>
        <w:t>学院审核</w:t>
      </w:r>
      <w:r>
        <w:rPr>
          <w:rFonts w:ascii="Times New Roman" w:hAnsi="Times New Roman" w:eastAsia="黑体" w:cs="Times New Roman"/>
          <w:kern w:val="0"/>
          <w:sz w:val="24"/>
        </w:rPr>
        <w:sym w:font="Wingdings" w:char="F0E8"/>
      </w:r>
      <w:r>
        <w:rPr>
          <w:rFonts w:ascii="Times New Roman" w:hAnsi="Times New Roman" w:eastAsia="黑体" w:cs="Times New Roman"/>
          <w:kern w:val="0"/>
          <w:sz w:val="24"/>
        </w:rPr>
        <w:t>研究生院审核</w:t>
      </w:r>
    </w:p>
    <w:p w14:paraId="453469D0">
      <w:pPr>
        <w:rPr>
          <w:rFonts w:ascii="Times New Roman" w:hAnsi="Times New Roman" w:cs="Times New Roman"/>
        </w:rPr>
      </w:pPr>
    </w:p>
    <w:p w14:paraId="06CC26A9">
      <w:pPr>
        <w:rPr>
          <w:rFonts w:ascii="Times New Roman" w:hAnsi="Times New Roman" w:cs="Times New Roman"/>
        </w:rPr>
      </w:pPr>
    </w:p>
    <w:p w14:paraId="60F3C98E">
      <w:pPr>
        <w:pStyle w:val="2"/>
        <w:numPr>
          <w:ilvl w:val="0"/>
          <w:numId w:val="1"/>
        </w:numPr>
        <w:snapToGrid w:val="0"/>
        <w:spacing w:before="0" w:after="0" w:line="360" w:lineRule="auto"/>
        <w:ind w:firstLine="562" w:firstLineChars="200"/>
        <w:rPr>
          <w:rFonts w:ascii="Times New Roman" w:hAnsi="Times New Roman" w:eastAsia="黑体" w:cs="Times New Roman"/>
          <w:kern w:val="0"/>
          <w:sz w:val="28"/>
          <w:szCs w:val="28"/>
          <w:lang w:bidi="ar"/>
        </w:rPr>
      </w:pPr>
      <w:r>
        <w:rPr>
          <w:rFonts w:ascii="Times New Roman" w:hAnsi="Times New Roman" w:eastAsia="黑体" w:cs="Times New Roman"/>
          <w:kern w:val="0"/>
          <w:sz w:val="28"/>
          <w:szCs w:val="28"/>
          <w:lang w:bidi="ar"/>
        </w:rPr>
        <w:t>研究生申请</w:t>
      </w:r>
    </w:p>
    <w:p w14:paraId="03883437">
      <w:pPr>
        <w:pStyle w:val="2"/>
        <w:snapToGrid w:val="0"/>
        <w:spacing w:before="0" w:after="0" w:line="360" w:lineRule="auto"/>
        <w:ind w:firstLine="480" w:firstLineChars="200"/>
        <w:jc w:val="center"/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</w:pPr>
      <w:r>
        <w:rPr>
          <w:rFonts w:ascii="Times New Roman" w:hAnsi="Times New Roman" w:eastAsia="宋体" w:cs="Times New Roman"/>
          <w:b w:val="0"/>
          <w:bCs w:val="0"/>
          <w:kern w:val="0"/>
          <w:sz w:val="24"/>
          <w:szCs w:val="24"/>
          <w:lang w:bidi="ar"/>
        </w:rPr>
        <w:t>登录“研究生教育管理系统”，点击“其他→第二导师申请管理→申请”（图1，图2）。</w:t>
      </w: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drawing>
          <wp:inline distT="0" distB="0" distL="114300" distR="114300">
            <wp:extent cx="304800" cy="304800"/>
            <wp:effectExtent l="0" t="0" r="0" b="0"/>
            <wp:docPr id="8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drawing>
          <wp:inline distT="0" distB="0" distL="114300" distR="114300">
            <wp:extent cx="1543685" cy="1536700"/>
            <wp:effectExtent l="0" t="0" r="10795" b="2540"/>
            <wp:docPr id="11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3685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47DD7A">
      <w:pPr>
        <w:widowControl/>
        <w:spacing w:line="360" w:lineRule="auto"/>
        <w:ind w:firstLine="5040" w:firstLineChars="21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图1</w:t>
      </w:r>
    </w:p>
    <w:p w14:paraId="2F084D57">
      <w:pPr>
        <w:widowControl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drawing>
          <wp:inline distT="0" distB="0" distL="114300" distR="114300">
            <wp:extent cx="4037965" cy="591820"/>
            <wp:effectExtent l="0" t="0" r="635" b="254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37965" cy="591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8BC909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kern w:val="0"/>
          <w:szCs w:val="21"/>
          <w:lang w:bidi="ar"/>
        </w:rPr>
        <w:t xml:space="preserve"> 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     图2</w:t>
      </w:r>
    </w:p>
    <w:p w14:paraId="49AC5495">
      <w:pPr>
        <w:widowControl/>
        <w:spacing w:line="360" w:lineRule="auto"/>
        <w:jc w:val="left"/>
        <w:rPr>
          <w:rFonts w:ascii="Times New Roman" w:hAnsi="Times New Roman" w:eastAsia="宋体" w:cs="Times New Roman"/>
          <w:kern w:val="0"/>
          <w:szCs w:val="21"/>
          <w:lang w:bidi="ar"/>
        </w:rPr>
      </w:pPr>
    </w:p>
    <w:p w14:paraId="7335AAC6">
      <w:pPr>
        <w:widowControl/>
        <w:numPr>
          <w:ilvl w:val="0"/>
          <w:numId w:val="2"/>
        </w:numPr>
        <w:spacing w:line="360" w:lineRule="auto"/>
        <w:jc w:val="left"/>
        <w:rPr>
          <w:rFonts w:ascii="Times New Roman" w:hAnsi="Times New Roman" w:eastAsia="黑体" w:cs="Times New Roman"/>
          <w:kern w:val="0"/>
          <w:sz w:val="28"/>
          <w:szCs w:val="28"/>
          <w:lang w:bidi="ar"/>
        </w:rPr>
      </w:pPr>
      <w:r>
        <w:rPr>
          <w:rFonts w:ascii="Times New Roman" w:hAnsi="Times New Roman" w:eastAsia="黑体" w:cs="Times New Roman"/>
          <w:kern w:val="0"/>
          <w:sz w:val="28"/>
          <w:szCs w:val="28"/>
          <w:lang w:bidi="ar"/>
        </w:rPr>
        <w:t>研究生第一导师选定第二导师名单</w:t>
      </w:r>
    </w:p>
    <w:p w14:paraId="6CE5552E">
      <w:pPr>
        <w:widowControl/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研究生第一导师登录“研究生教育管理系统”，点击“导师→学生培养指导→学生二导审核管理”（图3）。点击“选择”，在“关键字”中输入姓名或工号（校外导师为编号）查找名单，点击绿色按键确认（图4），选定第二导师名单后，再点击右边绿色图标，完成二导申请审核（图5）。如果按姓名或工号（校外导师为编号）查找不到第二导师名单的，请与学院负责老师联系确认是否已获聘第二导师资格。</w:t>
      </w:r>
    </w:p>
    <w:p w14:paraId="3501AB3D">
      <w:pPr>
        <w:widowControl/>
        <w:spacing w:line="360" w:lineRule="auto"/>
        <w:ind w:firstLine="4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drawing>
          <wp:inline distT="0" distB="0" distL="114300" distR="114300">
            <wp:extent cx="6144895" cy="1447800"/>
            <wp:effectExtent l="0" t="0" r="1206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1321CC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图3</w:t>
      </w:r>
    </w:p>
    <w:p w14:paraId="25045266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31D9CAE1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drawing>
          <wp:inline distT="0" distB="0" distL="114300" distR="114300">
            <wp:extent cx="5906135" cy="1478280"/>
            <wp:effectExtent l="0" t="0" r="6985" b="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1478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48D995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图4</w:t>
      </w:r>
    </w:p>
    <w:p w14:paraId="04CFD351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drawing>
          <wp:inline distT="0" distB="0" distL="114300" distR="114300">
            <wp:extent cx="5612765" cy="598805"/>
            <wp:effectExtent l="0" t="0" r="10795" b="1079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598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EA8805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图5</w:t>
      </w:r>
    </w:p>
    <w:p w14:paraId="4770E721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515FC97C">
      <w:pPr>
        <w:widowControl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 </w:t>
      </w:r>
    </w:p>
    <w:p w14:paraId="62C1747C">
      <w:pPr>
        <w:widowControl/>
        <w:spacing w:line="360" w:lineRule="auto"/>
        <w:rPr>
          <w:rFonts w:ascii="Times New Roman" w:hAnsi="Times New Roman" w:eastAsia="黑体" w:cs="Times New Roman"/>
          <w:kern w:val="0"/>
          <w:sz w:val="24"/>
          <w:lang w:bidi="ar"/>
        </w:rPr>
      </w:pPr>
      <w:r>
        <w:rPr>
          <w:rFonts w:ascii="Times New Roman" w:hAnsi="Times New Roman" w:eastAsia="黑体" w:cs="Times New Roman"/>
          <w:kern w:val="0"/>
          <w:sz w:val="24"/>
          <w:lang w:bidi="ar"/>
        </w:rPr>
        <w:t>三、学院审核第二导师信息</w:t>
      </w:r>
    </w:p>
    <w:p w14:paraId="329E9C1A">
      <w:pPr>
        <w:widowControl/>
        <w:spacing w:line="360" w:lineRule="auto"/>
        <w:ind w:firstLine="480" w:firstLineChars="200"/>
        <w:rPr>
          <w:rFonts w:ascii="Times New Roman" w:hAnsi="Times New Roman" w:eastAsia="黑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学院根据《研究生导师岗位聘任实施细则》（202年修订）中关于第二导师的聘任要求，审核拟配备导师是否已经学院聘任为第二导师且在有效聘期内。审核工作可通过逐条记录审核（图7）或多条记录批量审核（图8）。</w:t>
      </w:r>
    </w:p>
    <w:p w14:paraId="09D7703C">
      <w:pPr>
        <w:widowControl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drawing>
          <wp:inline distT="0" distB="0" distL="114300" distR="114300">
            <wp:extent cx="5912485" cy="1030605"/>
            <wp:effectExtent l="0" t="0" r="635" b="5715"/>
            <wp:docPr id="12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2485" cy="1030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F958A8">
      <w:pPr>
        <w:widowControl/>
        <w:spacing w:line="360" w:lineRule="auto"/>
        <w:jc w:val="center"/>
        <w:rPr>
          <w:rFonts w:ascii="Times New Roman" w:hAnsi="Times New Roman" w:eastAsia="黑体" w:cs="Times New Roman"/>
          <w:kern w:val="0"/>
          <w:sz w:val="24"/>
          <w:lang w:bidi="ar"/>
        </w:rPr>
      </w:pPr>
      <w:r>
        <w:rPr>
          <w:rFonts w:ascii="Times New Roman" w:hAnsi="Times New Roman" w:eastAsia="黑体" w:cs="Times New Roman"/>
          <w:kern w:val="0"/>
          <w:sz w:val="24"/>
          <w:lang w:bidi="ar"/>
        </w:rPr>
        <w:t>图6</w:t>
      </w:r>
    </w:p>
    <w:p w14:paraId="00CAFAFA">
      <w:pPr>
        <w:widowControl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drawing>
          <wp:inline distT="0" distB="0" distL="114300" distR="114300">
            <wp:extent cx="5930900" cy="976630"/>
            <wp:effectExtent l="0" t="0" r="12700" b="13970"/>
            <wp:docPr id="14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976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0B096A">
      <w:pPr>
        <w:widowControl/>
        <w:spacing w:line="360" w:lineRule="auto"/>
        <w:jc w:val="center"/>
        <w:rPr>
          <w:rFonts w:ascii="Times New Roman" w:hAnsi="Times New Roman" w:eastAsia="黑体" w:cs="Times New Roman"/>
          <w:kern w:val="0"/>
          <w:sz w:val="24"/>
          <w:lang w:bidi="ar"/>
        </w:rPr>
      </w:pPr>
      <w:r>
        <w:rPr>
          <w:rFonts w:ascii="Times New Roman" w:hAnsi="Times New Roman" w:eastAsia="黑体" w:cs="Times New Roman"/>
          <w:kern w:val="0"/>
          <w:sz w:val="24"/>
          <w:lang w:bidi="ar"/>
        </w:rPr>
        <w:t>图7</w:t>
      </w:r>
    </w:p>
    <w:p w14:paraId="7074CAA6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14:paraId="4B8F2EE8">
      <w:pPr>
        <w:widowControl/>
        <w:numPr>
          <w:ilvl w:val="0"/>
          <w:numId w:val="3"/>
        </w:numPr>
        <w:spacing w:line="360" w:lineRule="auto"/>
        <w:rPr>
          <w:rFonts w:ascii="Times New Roman" w:hAnsi="Times New Roman" w:eastAsia="黑体" w:cs="Times New Roman"/>
          <w:kern w:val="0"/>
          <w:sz w:val="24"/>
          <w:lang w:bidi="ar"/>
        </w:rPr>
      </w:pPr>
      <w:r>
        <w:rPr>
          <w:rFonts w:ascii="Times New Roman" w:hAnsi="Times New Roman" w:eastAsia="黑体" w:cs="Times New Roman"/>
          <w:kern w:val="0"/>
          <w:sz w:val="24"/>
          <w:lang w:bidi="ar"/>
        </w:rPr>
        <w:t>第二导师配备结果查看</w:t>
      </w:r>
    </w:p>
    <w:p w14:paraId="4F076ABF">
      <w:pPr>
        <w:widowControl/>
        <w:spacing w:line="360" w:lineRule="auto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黑体" w:cs="Times New Roman"/>
          <w:kern w:val="0"/>
          <w:sz w:val="24"/>
          <w:lang w:bidi="ar"/>
        </w:rPr>
        <w:t xml:space="preserve">   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研究生及导师登录研究生教育管理系统可查看第二导师的配备结果。审核通过的，第二导师名单可在系统中显示。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ab/>
      </w:r>
    </w:p>
    <w:sectPr>
      <w:footerReference r:id="rId3" w:type="default"/>
      <w:pgSz w:w="11906" w:h="16838"/>
      <w:pgMar w:top="1134" w:right="1134" w:bottom="567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0026C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07B606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07B606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A85448"/>
    <w:multiLevelType w:val="singleLevel"/>
    <w:tmpl w:val="08A8544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37D19D1"/>
    <w:multiLevelType w:val="singleLevel"/>
    <w:tmpl w:val="537D19D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930E062"/>
    <w:multiLevelType w:val="singleLevel"/>
    <w:tmpl w:val="7930E06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496A98"/>
    <w:rsid w:val="00194388"/>
    <w:rsid w:val="002E6962"/>
    <w:rsid w:val="00B06983"/>
    <w:rsid w:val="00B609C2"/>
    <w:rsid w:val="00E66037"/>
    <w:rsid w:val="04B904AD"/>
    <w:rsid w:val="0B464A81"/>
    <w:rsid w:val="0E510462"/>
    <w:rsid w:val="10E7001A"/>
    <w:rsid w:val="11C53783"/>
    <w:rsid w:val="12496A98"/>
    <w:rsid w:val="12CE24D0"/>
    <w:rsid w:val="144E5341"/>
    <w:rsid w:val="14820CB7"/>
    <w:rsid w:val="179204B8"/>
    <w:rsid w:val="1C142D7E"/>
    <w:rsid w:val="1D9F7BE5"/>
    <w:rsid w:val="1FB61AE9"/>
    <w:rsid w:val="1FDD3171"/>
    <w:rsid w:val="1FEF0A68"/>
    <w:rsid w:val="209440CF"/>
    <w:rsid w:val="21065F8B"/>
    <w:rsid w:val="218E2867"/>
    <w:rsid w:val="226D25F8"/>
    <w:rsid w:val="245B665A"/>
    <w:rsid w:val="2F5A3BAC"/>
    <w:rsid w:val="334E7F9A"/>
    <w:rsid w:val="34106FF5"/>
    <w:rsid w:val="34491E11"/>
    <w:rsid w:val="35CC2434"/>
    <w:rsid w:val="37115B87"/>
    <w:rsid w:val="375B121E"/>
    <w:rsid w:val="37827249"/>
    <w:rsid w:val="3E2C1B2B"/>
    <w:rsid w:val="3E5C0CE8"/>
    <w:rsid w:val="3FF625BA"/>
    <w:rsid w:val="45BC419C"/>
    <w:rsid w:val="45DD44F7"/>
    <w:rsid w:val="46FA79EE"/>
    <w:rsid w:val="47A74B8E"/>
    <w:rsid w:val="4A9077AB"/>
    <w:rsid w:val="4B8452CF"/>
    <w:rsid w:val="4D6857C1"/>
    <w:rsid w:val="4F207788"/>
    <w:rsid w:val="5136006F"/>
    <w:rsid w:val="53386FEA"/>
    <w:rsid w:val="535D2E76"/>
    <w:rsid w:val="540C2619"/>
    <w:rsid w:val="55C44DB1"/>
    <w:rsid w:val="55FC1246"/>
    <w:rsid w:val="5A5E65BA"/>
    <w:rsid w:val="5A8318F9"/>
    <w:rsid w:val="5C6B4FFB"/>
    <w:rsid w:val="5CE57F9F"/>
    <w:rsid w:val="5ED01BEA"/>
    <w:rsid w:val="5F2C5E49"/>
    <w:rsid w:val="60ED30FB"/>
    <w:rsid w:val="61E8281D"/>
    <w:rsid w:val="63074937"/>
    <w:rsid w:val="65AF79BD"/>
    <w:rsid w:val="686C7191"/>
    <w:rsid w:val="69481ACE"/>
    <w:rsid w:val="697B3BE2"/>
    <w:rsid w:val="698B79CD"/>
    <w:rsid w:val="6D606498"/>
    <w:rsid w:val="6D692789"/>
    <w:rsid w:val="6FE063D9"/>
    <w:rsid w:val="7003778B"/>
    <w:rsid w:val="787D7E1B"/>
    <w:rsid w:val="78A61B25"/>
    <w:rsid w:val="7B59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08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../NUL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798</Words>
  <Characters>820</Characters>
  <Lines>6</Lines>
  <Paragraphs>1</Paragraphs>
  <TotalTime>50</TotalTime>
  <ScaleCrop>false</ScaleCrop>
  <LinksUpToDate>false</LinksUpToDate>
  <CharactersWithSpaces>833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2023-04-11T03:17:00Z</dcterms:created>
  <dc:creator>lbs</dc:creator>
  <cp:lastModifiedBy>李幸福</cp:lastModifiedBy>
  <dcterms:modified xsi:type="dcterms:W3CDTF">2025-03-05T12:41:01Z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RubyTemplateID" linkTarget="0">
    <vt:lpwstr>6</vt:lpwstr>
  </property>
  <property fmtid="{D5CDD505-2E9C-101B-9397-08002B2CF9AE}" pid="4" name="ICV">
    <vt:lpwstr>FB13C629F69D4E9EAD1F237B170F85AD_13</vt:lpwstr>
  </property>
</Properties>
</file>